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7F59EE">
      <w:pPr>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hint="eastAsia"/>
          <w:sz w:val="84"/>
          <w:szCs w:val="84"/>
        </w:rPr>
        <w:t>2018年</w:t>
      </w:r>
    </w:p>
    <w:p w:rsidR="007F59EE" w:rsidRDefault="007F59EE" w:rsidP="007F59EE">
      <w:pPr>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hint="eastAsia"/>
          <w:sz w:val="84"/>
          <w:szCs w:val="84"/>
        </w:rPr>
        <w:t>河源理工学校部门预算</w:t>
      </w: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7F59EE" w:rsidRDefault="007F59EE" w:rsidP="00C14DBF">
      <w:pPr>
        <w:pStyle w:val="a3"/>
        <w:shd w:val="clear" w:color="auto" w:fill="FFFFFF"/>
        <w:spacing w:before="0" w:beforeAutospacing="0" w:after="0" w:afterAutospacing="0" w:line="450" w:lineRule="atLeast"/>
        <w:jc w:val="center"/>
        <w:rPr>
          <w:sz w:val="44"/>
          <w:szCs w:val="44"/>
        </w:rPr>
      </w:pPr>
    </w:p>
    <w:p w:rsidR="00C14DBF" w:rsidRDefault="00C14DBF" w:rsidP="00C14DBF">
      <w:pPr>
        <w:pStyle w:val="a3"/>
        <w:shd w:val="clear" w:color="auto" w:fill="FFFFFF"/>
        <w:spacing w:before="0" w:beforeAutospacing="0" w:after="0" w:afterAutospacing="0" w:line="450" w:lineRule="atLeast"/>
        <w:jc w:val="center"/>
        <w:rPr>
          <w:rFonts w:ascii="Calibri" w:hAnsi="Calibri" w:cs="Calibri"/>
          <w:sz w:val="21"/>
          <w:szCs w:val="21"/>
        </w:rPr>
      </w:pPr>
      <w:r>
        <w:rPr>
          <w:rFonts w:hint="eastAsia"/>
          <w:sz w:val="44"/>
          <w:szCs w:val="44"/>
        </w:rPr>
        <w:lastRenderedPageBreak/>
        <w:t> </w:t>
      </w:r>
      <w:r>
        <w:rPr>
          <w:rFonts w:ascii="方正小标宋简体" w:eastAsia="方正小标宋简体" w:hAnsi="Calibri" w:cs="Calibri" w:hint="eastAsia"/>
          <w:sz w:val="44"/>
          <w:szCs w:val="44"/>
        </w:rPr>
        <w:t>目 录</w:t>
      </w:r>
    </w:p>
    <w:p w:rsidR="00C14DBF" w:rsidRDefault="00C14DBF" w:rsidP="00C14DBF">
      <w:pPr>
        <w:pStyle w:val="a3"/>
        <w:shd w:val="clear" w:color="auto" w:fill="FFFFFF"/>
        <w:spacing w:before="0" w:beforeAutospacing="0" w:after="0" w:afterAutospacing="0" w:line="450" w:lineRule="atLeast"/>
        <w:jc w:val="center"/>
        <w:rPr>
          <w:rFonts w:ascii="Calibri" w:hAnsi="Calibri" w:cs="Calibri"/>
          <w:sz w:val="21"/>
          <w:szCs w:val="21"/>
        </w:rPr>
      </w:pPr>
      <w:r>
        <w:rPr>
          <w:rFonts w:hint="eastAsia"/>
          <w:sz w:val="44"/>
          <w:szCs w:val="44"/>
        </w:rPr>
        <w:t> </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第一部分</w:t>
      </w:r>
      <w:r>
        <w:rPr>
          <w:rFonts w:hint="eastAsia"/>
          <w:sz w:val="32"/>
          <w:szCs w:val="32"/>
        </w:rPr>
        <w:t> </w:t>
      </w:r>
      <w:r>
        <w:rPr>
          <w:rFonts w:ascii="黑体" w:eastAsia="黑体" w:hAnsi="黑体" w:cs="黑体" w:hint="eastAsia"/>
          <w:sz w:val="32"/>
          <w:szCs w:val="32"/>
        </w:rPr>
        <w:t xml:space="preserve"> </w:t>
      </w:r>
      <w:r>
        <w:rPr>
          <w:rFonts w:ascii="黑体" w:eastAsia="黑体" w:hAnsi="黑体" w:cs="Calibri" w:hint="eastAsia"/>
          <w:sz w:val="32"/>
          <w:szCs w:val="32"/>
        </w:rPr>
        <w:t>河源理工学校概况</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一、主要职责</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二、机构设置</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第二部分</w:t>
      </w:r>
      <w:r>
        <w:rPr>
          <w:rFonts w:hint="eastAsia"/>
          <w:sz w:val="32"/>
          <w:szCs w:val="32"/>
        </w:rPr>
        <w:t> </w:t>
      </w:r>
      <w:r>
        <w:rPr>
          <w:rFonts w:ascii="黑体" w:eastAsia="黑体" w:hAnsi="黑体" w:cs="黑体" w:hint="eastAsia"/>
          <w:sz w:val="32"/>
          <w:szCs w:val="32"/>
        </w:rPr>
        <w:t xml:space="preserve"> </w:t>
      </w:r>
      <w:r>
        <w:rPr>
          <w:rFonts w:ascii="黑体" w:eastAsia="黑体" w:hAnsi="黑体" w:cs="Calibri" w:hint="eastAsia"/>
          <w:sz w:val="32"/>
          <w:szCs w:val="32"/>
        </w:rPr>
        <w:t>河源理工学校部门预算表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一、收支总体情况表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二、收入总体情况表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三、支出总体情况表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四、财政拨款收支总体情况表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五、一般公共预算支出情况表（按功能分类科目）</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六、一般公共预算基本支出情况表（按支出经济分类科目）</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七、一般公共预算项目支出情况表（按支出经济分类科目）</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八、一般公共预算安排的行政经费及“三公”经费预算表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九、政府性基金预算支出情况表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十、部门预算基本支出预算表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十一、部门预算项目支出及其他支出预算表</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第三部分</w:t>
      </w:r>
      <w:r>
        <w:rPr>
          <w:rFonts w:hint="eastAsia"/>
          <w:sz w:val="32"/>
          <w:szCs w:val="32"/>
        </w:rPr>
        <w:t> </w:t>
      </w:r>
      <w:r>
        <w:rPr>
          <w:rFonts w:ascii="黑体" w:eastAsia="黑体" w:hAnsi="黑体" w:cs="黑体" w:hint="eastAsia"/>
          <w:sz w:val="32"/>
          <w:szCs w:val="32"/>
        </w:rPr>
        <w:t xml:space="preserve"> 2018</w:t>
      </w:r>
      <w:r>
        <w:rPr>
          <w:rFonts w:ascii="黑体" w:eastAsia="黑体" w:hAnsi="黑体" w:cs="Calibri" w:hint="eastAsia"/>
          <w:sz w:val="32"/>
          <w:szCs w:val="32"/>
        </w:rPr>
        <w:t>年部门预算情况说明</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第四部分</w:t>
      </w:r>
      <w:r>
        <w:rPr>
          <w:rFonts w:hint="eastAsia"/>
          <w:sz w:val="32"/>
          <w:szCs w:val="32"/>
        </w:rPr>
        <w:t> </w:t>
      </w:r>
      <w:r>
        <w:rPr>
          <w:rFonts w:ascii="黑体" w:eastAsia="黑体" w:hAnsi="黑体" w:cs="黑体" w:hint="eastAsia"/>
          <w:sz w:val="32"/>
          <w:szCs w:val="32"/>
        </w:rPr>
        <w:t xml:space="preserve"> </w:t>
      </w:r>
      <w:r>
        <w:rPr>
          <w:rFonts w:ascii="黑体" w:eastAsia="黑体" w:hAnsi="黑体" w:cs="Calibri" w:hint="eastAsia"/>
          <w:sz w:val="32"/>
          <w:szCs w:val="32"/>
        </w:rPr>
        <w:t>名词解释</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hint="eastAsia"/>
          <w:sz w:val="32"/>
          <w:szCs w:val="32"/>
        </w:rPr>
        <w:lastRenderedPageBreak/>
        <w:t> </w:t>
      </w:r>
    </w:p>
    <w:p w:rsidR="00C14DBF" w:rsidRDefault="00C14DBF" w:rsidP="00C14DBF">
      <w:pPr>
        <w:pStyle w:val="a3"/>
        <w:shd w:val="clear" w:color="auto" w:fill="FFFFFF"/>
        <w:spacing w:before="0" w:beforeAutospacing="0" w:after="0" w:afterAutospacing="0" w:line="450" w:lineRule="atLeast"/>
        <w:jc w:val="center"/>
        <w:rPr>
          <w:rFonts w:ascii="Calibri" w:hAnsi="Calibri" w:cs="Calibri"/>
          <w:sz w:val="21"/>
          <w:szCs w:val="21"/>
        </w:rPr>
      </w:pPr>
      <w:r>
        <w:rPr>
          <w:rFonts w:ascii="方正小标宋简体" w:eastAsia="方正小标宋简体" w:hAnsi="Calibri" w:cs="Calibri" w:hint="eastAsia"/>
          <w:sz w:val="44"/>
          <w:szCs w:val="44"/>
        </w:rPr>
        <w:t>第一部分</w:t>
      </w:r>
      <w:r>
        <w:rPr>
          <w:rFonts w:ascii="方正小标宋简体" w:eastAsia="方正小标宋简体" w:hAnsi="Calibri" w:cs="Calibri" w:hint="eastAsia"/>
          <w:sz w:val="44"/>
          <w:szCs w:val="44"/>
        </w:rPr>
        <w:t> </w:t>
      </w:r>
      <w:r>
        <w:rPr>
          <w:rFonts w:ascii="方正小标宋简体" w:eastAsia="方正小标宋简体" w:hAnsi="Calibri" w:cs="Calibri" w:hint="eastAsia"/>
          <w:sz w:val="44"/>
          <w:szCs w:val="44"/>
        </w:rPr>
        <w:t xml:space="preserve"> 河源理工学校概况</w:t>
      </w:r>
    </w:p>
    <w:p w:rsidR="00C14DBF" w:rsidRDefault="00C14DBF" w:rsidP="00C14DBF">
      <w:pPr>
        <w:pStyle w:val="a3"/>
        <w:shd w:val="clear" w:color="auto" w:fill="FFFFFF"/>
        <w:spacing w:before="0" w:beforeAutospacing="0" w:after="0" w:afterAutospacing="0" w:line="450" w:lineRule="atLeast"/>
        <w:jc w:val="both"/>
        <w:rPr>
          <w:rFonts w:ascii="Calibri" w:hAnsi="Calibri" w:cs="Calibri"/>
          <w:sz w:val="21"/>
          <w:szCs w:val="21"/>
        </w:rPr>
      </w:pPr>
      <w:r>
        <w:rPr>
          <w:rFonts w:hint="eastAsia"/>
          <w:sz w:val="44"/>
          <w:szCs w:val="44"/>
        </w:rPr>
        <w:t> </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一、主要职责</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根据河源市机构编制委员会《关于成立河源工业技术学校的批复》（河机编[2009]8号）、《关于河源工业技术学校更名的批复》（河机编[2010]28号）及《关于增加河源理工学校教师编制的批复》（河机编[2012]24号）等批复文件，理工学校成立于2009年，原名“河源工业技术学校”，2010年更名为“河源理工学校”，是河源市教育局管理的副处级单位；</w:t>
      </w:r>
      <w:r w:rsidR="004D7BD3">
        <w:rPr>
          <w:rFonts w:ascii="仿宋" w:eastAsia="仿宋" w:hAnsi="仿宋" w:cs="Calibri" w:hint="eastAsia"/>
          <w:sz w:val="32"/>
          <w:szCs w:val="32"/>
        </w:rPr>
        <w:t>本单位</w:t>
      </w:r>
      <w:r>
        <w:rPr>
          <w:rFonts w:ascii="仿宋" w:eastAsia="仿宋" w:hAnsi="仿宋" w:cs="Calibri" w:hint="eastAsia"/>
          <w:sz w:val="32"/>
          <w:szCs w:val="32"/>
        </w:rPr>
        <w:t>主要职责：承担全市中等职业技术学历教育任务，培养实用型、技能型中等技术人才。</w:t>
      </w:r>
    </w:p>
    <w:p w:rsidR="00C14DBF" w:rsidRDefault="00C14DBF" w:rsidP="00C14DBF">
      <w:pPr>
        <w:pStyle w:val="a3"/>
        <w:shd w:val="clear" w:color="auto" w:fill="FFFFFF"/>
        <w:spacing w:before="0" w:beforeAutospacing="0" w:after="0" w:afterAutospacing="0" w:line="450" w:lineRule="atLeast"/>
        <w:jc w:val="both"/>
        <w:rPr>
          <w:rFonts w:ascii="Calibri" w:hAnsi="Calibri" w:cs="Calibri"/>
          <w:sz w:val="21"/>
          <w:szCs w:val="21"/>
        </w:rPr>
      </w:pPr>
      <w:r>
        <w:rPr>
          <w:rFonts w:hint="eastAsia"/>
          <w:sz w:val="32"/>
          <w:szCs w:val="32"/>
        </w:rPr>
        <w:t>   </w:t>
      </w:r>
      <w:r>
        <w:rPr>
          <w:rFonts w:ascii="黑体" w:eastAsia="黑体" w:hAnsi="黑体" w:cs="黑体" w:hint="eastAsia"/>
          <w:sz w:val="32"/>
          <w:szCs w:val="32"/>
        </w:rPr>
        <w:t xml:space="preserve"> </w:t>
      </w:r>
      <w:r>
        <w:rPr>
          <w:rFonts w:ascii="黑体" w:eastAsia="黑体" w:hAnsi="黑体" w:cs="Calibri" w:hint="eastAsia"/>
          <w:sz w:val="32"/>
          <w:szCs w:val="32"/>
        </w:rPr>
        <w:t>二、机构设置</w:t>
      </w:r>
    </w:p>
    <w:p w:rsidR="00C14DBF" w:rsidRDefault="004D7BD3"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（一）本单位</w:t>
      </w:r>
      <w:r w:rsidR="00533F7D">
        <w:rPr>
          <w:rFonts w:ascii="仿宋" w:eastAsia="仿宋" w:hAnsi="仿宋" w:cs="Calibri" w:hint="eastAsia"/>
          <w:sz w:val="32"/>
          <w:szCs w:val="32"/>
        </w:rPr>
        <w:t>无下属单位，部门预算为</w:t>
      </w:r>
      <w:r w:rsidR="00C14DBF">
        <w:rPr>
          <w:rFonts w:ascii="仿宋" w:eastAsia="仿宋" w:hAnsi="仿宋" w:cs="Calibri" w:hint="eastAsia"/>
          <w:sz w:val="32"/>
          <w:szCs w:val="32"/>
        </w:rPr>
        <w:t>部门本级预算。</w:t>
      </w:r>
    </w:p>
    <w:p w:rsidR="00C14DBF" w:rsidRDefault="00C14DBF" w:rsidP="00C14DBF">
      <w:pPr>
        <w:pStyle w:val="a3"/>
        <w:shd w:val="clear" w:color="auto" w:fill="FFFFFF"/>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（二）</w:t>
      </w:r>
      <w:r w:rsidR="004D7BD3">
        <w:rPr>
          <w:rFonts w:ascii="仿宋" w:eastAsia="仿宋" w:hAnsi="仿宋" w:cs="Calibri" w:hint="eastAsia"/>
          <w:sz w:val="32"/>
          <w:szCs w:val="32"/>
        </w:rPr>
        <w:t>本单位</w:t>
      </w:r>
      <w:r>
        <w:rPr>
          <w:rFonts w:ascii="仿宋" w:eastAsia="仿宋" w:hAnsi="仿宋" w:cs="Calibri" w:hint="eastAsia"/>
          <w:sz w:val="32"/>
          <w:szCs w:val="32"/>
        </w:rPr>
        <w:t xml:space="preserve">内设机构、人员构成情况： </w:t>
      </w:r>
    </w:p>
    <w:p w:rsidR="00C14DBF" w:rsidRDefault="00C14DBF" w:rsidP="00C14DBF">
      <w:pPr>
        <w:pStyle w:val="a3"/>
        <w:shd w:val="clear" w:color="auto" w:fill="FFFFFF"/>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1.</w:t>
      </w:r>
      <w:r w:rsidR="004D7BD3">
        <w:rPr>
          <w:rFonts w:ascii="仿宋" w:eastAsia="仿宋" w:hAnsi="仿宋" w:cs="Calibri" w:hint="eastAsia"/>
          <w:sz w:val="32"/>
          <w:szCs w:val="32"/>
        </w:rPr>
        <w:t>本单位</w:t>
      </w:r>
      <w:r>
        <w:rPr>
          <w:rFonts w:ascii="仿宋" w:eastAsia="仿宋" w:hAnsi="仿宋" w:cs="Calibri" w:hint="eastAsia"/>
          <w:sz w:val="32"/>
          <w:szCs w:val="32"/>
        </w:rPr>
        <w:t>内设8个副科级科（室）：办公室、教务科、总务科、学生科、招生与就业指导科、培训科、实训中心、教研室。</w:t>
      </w:r>
    </w:p>
    <w:p w:rsidR="00C14DBF" w:rsidRDefault="00C14DBF" w:rsidP="00C14DBF">
      <w:pPr>
        <w:pStyle w:val="a3"/>
        <w:shd w:val="clear" w:color="auto" w:fill="FFFFFF"/>
        <w:spacing w:before="0" w:beforeAutospacing="0" w:after="0" w:afterAutospacing="0" w:line="558" w:lineRule="atLeast"/>
        <w:ind w:left="640"/>
        <w:jc w:val="both"/>
        <w:rPr>
          <w:rFonts w:ascii="Calibri" w:hAnsi="Calibri" w:cs="Calibri"/>
          <w:sz w:val="21"/>
          <w:szCs w:val="21"/>
        </w:rPr>
      </w:pPr>
      <w:r>
        <w:rPr>
          <w:rFonts w:ascii="仿宋" w:eastAsia="仿宋" w:hAnsi="仿宋" w:cs="Calibri" w:hint="eastAsia"/>
          <w:sz w:val="32"/>
          <w:szCs w:val="32"/>
        </w:rPr>
        <w:t>2.人员构成情况</w:t>
      </w:r>
    </w:p>
    <w:p w:rsidR="00C14DBF" w:rsidRDefault="00C14DBF" w:rsidP="00C14DBF">
      <w:pPr>
        <w:pStyle w:val="a3"/>
        <w:shd w:val="clear" w:color="auto" w:fill="FFFFFF"/>
        <w:spacing w:before="0" w:beforeAutospacing="0" w:after="0" w:afterAutospacing="0" w:line="450" w:lineRule="atLeast"/>
        <w:ind w:firstLine="640"/>
        <w:jc w:val="both"/>
        <w:rPr>
          <w:rFonts w:ascii="Calibri" w:hAnsi="Calibri" w:cs="Calibri"/>
          <w:sz w:val="21"/>
          <w:szCs w:val="21"/>
        </w:rPr>
      </w:pPr>
      <w:r>
        <w:rPr>
          <w:rFonts w:ascii="仿宋" w:eastAsia="仿宋" w:hAnsi="仿宋" w:cs="Calibri" w:hint="eastAsia"/>
          <w:sz w:val="32"/>
          <w:szCs w:val="32"/>
        </w:rPr>
        <w:t>编制人员情况：河机编[2012]24号批复后的核定事业编制总数为360名，其中定编不定人20名；配单位领导职数6名，其中：校长1名，副校长5名；工会主席1名，内设机</w:t>
      </w:r>
      <w:r>
        <w:rPr>
          <w:rFonts w:ascii="仿宋" w:eastAsia="仿宋" w:hAnsi="仿宋" w:cs="Calibri" w:hint="eastAsia"/>
          <w:sz w:val="32"/>
          <w:szCs w:val="32"/>
        </w:rPr>
        <w:lastRenderedPageBreak/>
        <w:t>构领导职数（副科级）8名。实有人员情况：本校共有事业在职334人（其中：非参公事业在职334人），聘请人员93</w:t>
      </w:r>
      <w:r w:rsidR="006F55E7">
        <w:rPr>
          <w:rFonts w:ascii="仿宋" w:eastAsia="仿宋" w:hAnsi="仿宋" w:cs="Calibri" w:hint="eastAsia"/>
          <w:sz w:val="32"/>
          <w:szCs w:val="32"/>
        </w:rPr>
        <w:t>人，</w:t>
      </w:r>
      <w:r>
        <w:rPr>
          <w:rFonts w:ascii="仿宋" w:eastAsia="仿宋" w:hAnsi="仿宋" w:cs="Calibri" w:hint="eastAsia"/>
          <w:sz w:val="32"/>
          <w:szCs w:val="32"/>
        </w:rPr>
        <w:t>退休人员</w:t>
      </w:r>
      <w:r w:rsidR="006F55E7">
        <w:rPr>
          <w:rFonts w:ascii="仿宋" w:eastAsia="仿宋" w:hAnsi="仿宋" w:cs="Calibri" w:hint="eastAsia"/>
          <w:sz w:val="32"/>
          <w:szCs w:val="32"/>
        </w:rPr>
        <w:t>12</w:t>
      </w:r>
      <w:r>
        <w:rPr>
          <w:rFonts w:ascii="仿宋" w:eastAsia="仿宋" w:hAnsi="仿宋" w:cs="Calibri" w:hint="eastAsia"/>
          <w:sz w:val="32"/>
          <w:szCs w:val="32"/>
        </w:rPr>
        <w:t>人。</w:t>
      </w:r>
    </w:p>
    <w:p w:rsidR="00C14DBF" w:rsidRDefault="00C14DBF" w:rsidP="00C14DBF">
      <w:pPr>
        <w:pStyle w:val="a3"/>
        <w:shd w:val="clear" w:color="auto" w:fill="FFFFFF"/>
        <w:snapToGrid w:val="0"/>
        <w:spacing w:before="0" w:beforeAutospacing="0" w:after="0" w:afterAutospacing="0" w:line="450" w:lineRule="atLeast"/>
        <w:jc w:val="center"/>
        <w:rPr>
          <w:rFonts w:ascii="Calibri" w:hAnsi="Calibri" w:cs="Calibri"/>
          <w:sz w:val="21"/>
          <w:szCs w:val="21"/>
        </w:rPr>
      </w:pPr>
      <w:r>
        <w:rPr>
          <w:rFonts w:ascii="仿宋" w:eastAsia="仿宋" w:hAnsi="仿宋" w:hint="eastAsia"/>
          <w:sz w:val="32"/>
          <w:szCs w:val="32"/>
        </w:rPr>
        <w:br w:type="page"/>
      </w:r>
      <w:r>
        <w:rPr>
          <w:rFonts w:ascii="方正小标宋简体" w:eastAsia="方正小标宋简体" w:hAnsi="Calibri" w:cs="Calibri" w:hint="eastAsia"/>
          <w:sz w:val="44"/>
          <w:szCs w:val="44"/>
        </w:rPr>
        <w:lastRenderedPageBreak/>
        <w:t>第二部分</w:t>
      </w:r>
      <w:r>
        <w:rPr>
          <w:rFonts w:ascii="方正小标宋简体" w:eastAsia="方正小标宋简体" w:hAnsi="Calibri" w:cs="Calibri" w:hint="eastAsia"/>
          <w:sz w:val="44"/>
          <w:szCs w:val="44"/>
        </w:rPr>
        <w:t> </w:t>
      </w:r>
      <w:r>
        <w:rPr>
          <w:rFonts w:ascii="方正小标宋简体" w:eastAsia="方正小标宋简体" w:hAnsi="Calibri" w:cs="Calibri" w:hint="eastAsia"/>
          <w:sz w:val="44"/>
          <w:szCs w:val="44"/>
        </w:rPr>
        <w:t xml:space="preserve"> 2018年部门预算表</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见附件：河源理工学校2018年预算表</w:t>
      </w:r>
    </w:p>
    <w:p w:rsidR="00C14DBF" w:rsidRDefault="00C14DBF" w:rsidP="00C14DBF">
      <w:pPr>
        <w:pStyle w:val="a3"/>
        <w:shd w:val="clear" w:color="auto" w:fill="FFFFFF"/>
        <w:snapToGrid w:val="0"/>
        <w:spacing w:before="0" w:beforeAutospacing="0" w:after="0" w:afterAutospacing="0" w:line="450" w:lineRule="atLeast"/>
        <w:jc w:val="center"/>
        <w:rPr>
          <w:rFonts w:ascii="Calibri" w:hAnsi="Calibri" w:cs="Calibri"/>
          <w:sz w:val="21"/>
          <w:szCs w:val="21"/>
        </w:rPr>
      </w:pPr>
      <w:r>
        <w:rPr>
          <w:rFonts w:ascii="方正小标宋简体" w:eastAsia="方正小标宋简体" w:hAnsi="Calibri" w:cs="Calibri" w:hint="eastAsia"/>
          <w:sz w:val="44"/>
          <w:szCs w:val="44"/>
        </w:rPr>
        <w:t> </w:t>
      </w:r>
    </w:p>
    <w:p w:rsidR="00C14DBF" w:rsidRDefault="00C14DBF" w:rsidP="00C14DBF">
      <w:pPr>
        <w:pStyle w:val="a3"/>
        <w:shd w:val="clear" w:color="auto" w:fill="FFFFFF"/>
        <w:snapToGrid w:val="0"/>
        <w:spacing w:before="0" w:beforeAutospacing="0" w:after="0" w:afterAutospacing="0" w:line="450" w:lineRule="atLeast"/>
        <w:jc w:val="center"/>
        <w:rPr>
          <w:rFonts w:ascii="Calibri" w:hAnsi="Calibri" w:cs="Calibri"/>
          <w:sz w:val="21"/>
          <w:szCs w:val="21"/>
        </w:rPr>
      </w:pPr>
      <w:r>
        <w:rPr>
          <w:rFonts w:ascii="方正小标宋简体" w:eastAsia="方正小标宋简体" w:hAnsi="Calibri" w:cs="Calibri" w:hint="eastAsia"/>
          <w:sz w:val="44"/>
          <w:szCs w:val="44"/>
        </w:rPr>
        <w:t>第三部分</w:t>
      </w:r>
      <w:r>
        <w:rPr>
          <w:rFonts w:ascii="方正小标宋简体" w:eastAsia="方正小标宋简体" w:hAnsi="Calibri" w:cs="Calibri" w:hint="eastAsia"/>
          <w:sz w:val="44"/>
          <w:szCs w:val="44"/>
        </w:rPr>
        <w:t> </w:t>
      </w:r>
      <w:r>
        <w:rPr>
          <w:rFonts w:ascii="方正小标宋简体" w:eastAsia="方正小标宋简体" w:hAnsi="Calibri" w:cs="Calibri" w:hint="eastAsia"/>
          <w:sz w:val="44"/>
          <w:szCs w:val="44"/>
        </w:rPr>
        <w:t xml:space="preserve"> 2018年部门预算情况说明</w:t>
      </w:r>
    </w:p>
    <w:p w:rsidR="00C14DBF" w:rsidRDefault="00C14DBF" w:rsidP="00C14DBF">
      <w:pPr>
        <w:pStyle w:val="a3"/>
        <w:shd w:val="clear" w:color="auto" w:fill="FFFFFF"/>
        <w:snapToGrid w:val="0"/>
        <w:spacing w:before="0" w:beforeAutospacing="0" w:after="0" w:afterAutospacing="0" w:line="450" w:lineRule="atLeast"/>
        <w:jc w:val="both"/>
        <w:rPr>
          <w:rFonts w:ascii="Calibri" w:hAnsi="Calibri" w:cs="Calibri"/>
          <w:sz w:val="21"/>
          <w:szCs w:val="21"/>
        </w:rPr>
      </w:pPr>
      <w:r>
        <w:rPr>
          <w:rFonts w:ascii="方正小标宋简体" w:eastAsia="方正小标宋简体" w:hAnsi="Calibri" w:cs="Calibri" w:hint="eastAsia"/>
          <w:sz w:val="44"/>
          <w:szCs w:val="44"/>
        </w:rPr>
        <w:t> </w:t>
      </w: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一、部门预算收支增减变化情况</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2018年部门预算收入数为7315.29万元，比上年减少1398.84万元，减少16.05%。其中：一般公共预算拨款4560.56万元，财政专户拨款955.21万元，上级补助收入1799.52万元。减少的原因主要是其他资金的减少。</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2018年部门预算支出数为7315.29万元，其中：</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基本支出预算4687.07万元，占总支出的64.07%，比上年增加571.20万元，增长13.88%。其中：工资福利支出3580.73万元，对个人和家庭的补助322.74万元，公用经费783.60万元。增长的原因主要是：在编教职工人数与工资福利均有所增加。</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项目支出预算2628.22万元，占总支出的35.93%，比上年减少1970.04万元，减少42.84%。减少的原因主要是部分自筹资金项目未列入本年度预算。</w:t>
      </w: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hint="eastAsia"/>
          <w:sz w:val="32"/>
          <w:szCs w:val="32"/>
        </w:rPr>
        <w:t> </w:t>
      </w: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二、“三公”经费安排情况说明</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2018年，一般公共预算拨款“三公”经费支出合计13.00万元，比上年减少7.00万元。其中：因公出国（境）费0.00万元，占0.00%；公务用车购置及运行费3.00万元（其中公</w:t>
      </w:r>
      <w:r>
        <w:rPr>
          <w:rFonts w:ascii="仿宋" w:eastAsia="仿宋" w:hAnsi="仿宋" w:cs="Calibri" w:hint="eastAsia"/>
          <w:sz w:val="32"/>
          <w:szCs w:val="32"/>
        </w:rPr>
        <w:lastRenderedPageBreak/>
        <w:t>务用车购置0.00万元，公务用车运行维护费3.00万元），占23.08%，比上年减少7万元，减少的主要原因是公车改革后本校只保留一辆公务用车，公务用车运行维护费相应减少；公务接待费10.</w:t>
      </w:r>
      <w:r w:rsidR="007F59EE">
        <w:rPr>
          <w:rFonts w:ascii="仿宋" w:eastAsia="仿宋" w:hAnsi="仿宋" w:cs="Calibri" w:hint="eastAsia"/>
          <w:sz w:val="32"/>
          <w:szCs w:val="32"/>
        </w:rPr>
        <w:t>00</w:t>
      </w:r>
      <w:r>
        <w:rPr>
          <w:rFonts w:ascii="仿宋" w:eastAsia="仿宋" w:hAnsi="仿宋" w:cs="Calibri" w:hint="eastAsia"/>
          <w:sz w:val="32"/>
          <w:szCs w:val="32"/>
        </w:rPr>
        <w:t>万元，占76.92%，与上年持平。</w:t>
      </w:r>
    </w:p>
    <w:p w:rsidR="007F59EE" w:rsidRDefault="007F59EE" w:rsidP="00C14DBF">
      <w:pPr>
        <w:pStyle w:val="a3"/>
        <w:shd w:val="clear" w:color="auto" w:fill="FFFFFF"/>
        <w:snapToGrid w:val="0"/>
        <w:spacing w:before="0" w:beforeAutospacing="0" w:after="0" w:afterAutospacing="0" w:line="450" w:lineRule="atLeast"/>
        <w:ind w:firstLine="640"/>
        <w:jc w:val="both"/>
        <w:rPr>
          <w:rFonts w:ascii="黑体" w:eastAsia="黑体" w:hAnsi="黑体" w:cs="Calibri"/>
          <w:sz w:val="32"/>
          <w:szCs w:val="32"/>
        </w:rPr>
      </w:pP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三、机关运行经费安排情况</w:t>
      </w:r>
    </w:p>
    <w:p w:rsidR="00C14DBF" w:rsidRDefault="004D7BD3" w:rsidP="00C14DBF">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sidRPr="004D7BD3">
        <w:rPr>
          <w:rFonts w:ascii="仿宋" w:eastAsia="仿宋" w:hAnsi="仿宋" w:cs="Calibri" w:hint="eastAsia"/>
          <w:sz w:val="32"/>
          <w:szCs w:val="32"/>
        </w:rPr>
        <w:t>本单位为财政核拨事业单位，无机关运行经费</w:t>
      </w:r>
      <w:r w:rsidR="00C36BB9">
        <w:rPr>
          <w:rFonts w:ascii="仿宋" w:eastAsia="仿宋" w:hAnsi="仿宋" w:cs="Calibri" w:hint="eastAsia"/>
          <w:sz w:val="32"/>
          <w:szCs w:val="32"/>
        </w:rPr>
        <w:t>。</w:t>
      </w:r>
    </w:p>
    <w:p w:rsidR="004D7BD3" w:rsidRPr="004D7BD3" w:rsidRDefault="004D7BD3" w:rsidP="00C14DBF">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p>
    <w:p w:rsidR="00C14DBF" w:rsidRPr="004D7BD3" w:rsidRDefault="00C14DBF" w:rsidP="00C14DBF">
      <w:pPr>
        <w:pStyle w:val="a3"/>
        <w:shd w:val="clear" w:color="auto" w:fill="FFFFFF"/>
        <w:snapToGrid w:val="0"/>
        <w:spacing w:before="0" w:beforeAutospacing="0" w:after="0" w:afterAutospacing="0" w:line="450" w:lineRule="atLeast"/>
        <w:ind w:firstLine="640"/>
        <w:jc w:val="both"/>
        <w:rPr>
          <w:rFonts w:ascii="黑体" w:eastAsia="黑体" w:hAnsi="黑体" w:cs="Calibri"/>
          <w:sz w:val="32"/>
          <w:szCs w:val="32"/>
        </w:rPr>
      </w:pPr>
      <w:r w:rsidRPr="004D7BD3">
        <w:rPr>
          <w:rFonts w:ascii="黑体" w:eastAsia="黑体" w:hAnsi="黑体" w:cs="Calibri" w:hint="eastAsia"/>
          <w:sz w:val="32"/>
          <w:szCs w:val="32"/>
        </w:rPr>
        <w:t>四、政府采购情况</w:t>
      </w:r>
    </w:p>
    <w:p w:rsidR="00C14DBF" w:rsidRDefault="00C14DBF" w:rsidP="00C14DBF">
      <w:pPr>
        <w:pStyle w:val="a3"/>
        <w:shd w:val="clear" w:color="auto" w:fill="FFFFFF"/>
        <w:snapToGrid w:val="0"/>
        <w:spacing w:before="0" w:beforeAutospacing="0" w:after="0" w:afterAutospacing="0" w:line="558" w:lineRule="atLeast"/>
        <w:ind w:firstLine="640"/>
        <w:jc w:val="both"/>
        <w:rPr>
          <w:rFonts w:ascii="Calibri" w:hAnsi="Calibri" w:cs="Calibri"/>
          <w:sz w:val="21"/>
          <w:szCs w:val="21"/>
        </w:rPr>
      </w:pPr>
      <w:r>
        <w:rPr>
          <w:rFonts w:ascii="仿宋" w:eastAsia="仿宋" w:hAnsi="仿宋" w:cs="Calibri" w:hint="eastAsia"/>
          <w:sz w:val="32"/>
          <w:szCs w:val="32"/>
        </w:rPr>
        <w:t>2018年</w:t>
      </w:r>
      <w:r w:rsidR="004D7BD3">
        <w:rPr>
          <w:rFonts w:ascii="仿宋" w:eastAsia="仿宋" w:hAnsi="仿宋" w:cs="Calibri" w:hint="eastAsia"/>
          <w:sz w:val="32"/>
          <w:szCs w:val="32"/>
        </w:rPr>
        <w:t>本单位</w:t>
      </w:r>
      <w:r>
        <w:rPr>
          <w:rFonts w:ascii="仿宋" w:eastAsia="仿宋" w:hAnsi="仿宋" w:cs="Calibri" w:hint="eastAsia"/>
          <w:sz w:val="32"/>
          <w:szCs w:val="32"/>
        </w:rPr>
        <w:t>政府采购预算总额300万元，其中：政府采购货物类300万元、政府采购工程支出总额0万元、政府采购支出服务0万元。</w:t>
      </w:r>
    </w:p>
    <w:p w:rsidR="007F59EE" w:rsidRPr="004D7BD3" w:rsidRDefault="007F59EE" w:rsidP="00C14DBF">
      <w:pPr>
        <w:pStyle w:val="a3"/>
        <w:shd w:val="clear" w:color="auto" w:fill="FFFFFF"/>
        <w:snapToGrid w:val="0"/>
        <w:spacing w:before="0" w:beforeAutospacing="0" w:after="0" w:afterAutospacing="0" w:line="450" w:lineRule="atLeast"/>
        <w:ind w:firstLine="640"/>
        <w:jc w:val="both"/>
        <w:rPr>
          <w:rFonts w:ascii="黑体" w:eastAsia="黑体" w:hAnsi="黑体" w:cs="Calibri"/>
          <w:sz w:val="32"/>
          <w:szCs w:val="32"/>
        </w:rPr>
      </w:pP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五、国有资产占有使用情况</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截至2017年12月31</w:t>
      </w:r>
      <w:r w:rsidR="004D7BD3">
        <w:rPr>
          <w:rFonts w:ascii="仿宋" w:eastAsia="仿宋" w:hAnsi="仿宋" w:cs="Calibri" w:hint="eastAsia"/>
          <w:sz w:val="32"/>
          <w:szCs w:val="32"/>
        </w:rPr>
        <w:t>日，本单位</w:t>
      </w:r>
      <w:r>
        <w:rPr>
          <w:rFonts w:ascii="仿宋" w:eastAsia="仿宋" w:hAnsi="仿宋" w:cs="Calibri" w:hint="eastAsia"/>
          <w:sz w:val="32"/>
          <w:szCs w:val="32"/>
        </w:rPr>
        <w:t>占有国有资产金额为10748.16万元。分布构成情况为：房屋和构筑物259.67万；通用设备1765.09万元；专用设备7269.76万元；图书、档案122.09万元；家具、用具、装具及动植物1331.55万元。相比上年，新增固定资产1140.27万元，减少170.94万元。（原因为资产到期报废）</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sidRPr="007F59EE">
        <w:rPr>
          <w:rFonts w:ascii="仿宋" w:eastAsia="仿宋" w:hAnsi="仿宋" w:cs="Calibri" w:hint="eastAsia"/>
          <w:sz w:val="32"/>
          <w:szCs w:val="32"/>
        </w:rPr>
        <w:t> </w:t>
      </w:r>
    </w:p>
    <w:p w:rsidR="00C14DBF" w:rsidRDefault="00C14DBF" w:rsidP="00C14DBF">
      <w:pPr>
        <w:pStyle w:val="a3"/>
        <w:shd w:val="clear" w:color="auto" w:fill="FFFFFF"/>
        <w:snapToGrid w:val="0"/>
        <w:spacing w:before="0" w:beforeAutospacing="0" w:after="0" w:afterAutospacing="0" w:line="450" w:lineRule="atLeast"/>
        <w:ind w:firstLine="640"/>
        <w:jc w:val="both"/>
        <w:rPr>
          <w:rFonts w:ascii="Calibri" w:hAnsi="Calibri" w:cs="Calibri"/>
          <w:sz w:val="21"/>
          <w:szCs w:val="21"/>
        </w:rPr>
      </w:pPr>
      <w:r>
        <w:rPr>
          <w:rFonts w:ascii="黑体" w:eastAsia="黑体" w:hAnsi="黑体" w:cs="Calibri" w:hint="eastAsia"/>
          <w:sz w:val="32"/>
          <w:szCs w:val="32"/>
        </w:rPr>
        <w:t>六、预算绩效信息公开情况</w:t>
      </w:r>
    </w:p>
    <w:p w:rsidR="00C14DBF" w:rsidRPr="007F59EE" w:rsidRDefault="004D7BD3"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本单位</w:t>
      </w:r>
      <w:r w:rsidR="00C14DBF">
        <w:rPr>
          <w:rFonts w:ascii="仿宋" w:eastAsia="仿宋" w:hAnsi="仿宋" w:cs="Calibri" w:hint="eastAsia"/>
          <w:sz w:val="32"/>
          <w:szCs w:val="32"/>
        </w:rPr>
        <w:t>在编制2018年编报项目预算时同步编制了项目绩效目标，在预算项目实施进程中，将根据国家政策及相关文件规定要求结合学校实际情况，进一步修订和完善与预算绩</w:t>
      </w:r>
      <w:r w:rsidR="00C14DBF">
        <w:rPr>
          <w:rFonts w:ascii="仿宋" w:eastAsia="仿宋" w:hAnsi="仿宋" w:cs="Calibri" w:hint="eastAsia"/>
          <w:sz w:val="32"/>
          <w:szCs w:val="32"/>
        </w:rPr>
        <w:lastRenderedPageBreak/>
        <w:t>效相关的制度办法，针对不同的项目选用适合的评价指标和评价方法。严格按照相关预算的使用要求使用资金。</w:t>
      </w:r>
    </w:p>
    <w:p w:rsidR="00C14DBF" w:rsidRPr="007F59EE" w:rsidRDefault="00C14DBF" w:rsidP="00C14DBF">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在预算年度终了后将对达到100万元以上的预算项目进行绩效自评，并</w:t>
      </w:r>
      <w:r w:rsidR="004D7BD3">
        <w:rPr>
          <w:rFonts w:ascii="仿宋" w:eastAsia="仿宋" w:hAnsi="仿宋" w:cs="Calibri" w:hint="eastAsia"/>
          <w:sz w:val="32"/>
          <w:szCs w:val="32"/>
        </w:rPr>
        <w:t>及时对评价发现的问题进行整改，提升绩效评价的效果。有效地保障本单位</w:t>
      </w:r>
      <w:r>
        <w:rPr>
          <w:rFonts w:ascii="仿宋" w:eastAsia="仿宋" w:hAnsi="仿宋" w:cs="Calibri" w:hint="eastAsia"/>
          <w:sz w:val="32"/>
          <w:szCs w:val="32"/>
        </w:rPr>
        <w:t>日常教学和其他各项工作的正常运转。</w:t>
      </w:r>
    </w:p>
    <w:p w:rsidR="00C14DBF" w:rsidRDefault="00C14DBF" w:rsidP="00C14DBF">
      <w:pPr>
        <w:pStyle w:val="a3"/>
        <w:shd w:val="clear" w:color="auto" w:fill="FFFFFF"/>
        <w:snapToGrid w:val="0"/>
        <w:spacing w:before="0" w:beforeAutospacing="0" w:after="0" w:afterAutospacing="0" w:line="450" w:lineRule="atLeast"/>
        <w:jc w:val="center"/>
        <w:rPr>
          <w:rFonts w:ascii="Calibri" w:hAnsi="Calibri" w:cs="Calibri"/>
          <w:sz w:val="21"/>
          <w:szCs w:val="21"/>
        </w:rPr>
      </w:pPr>
      <w:r>
        <w:rPr>
          <w:rFonts w:ascii="方正小标宋简体" w:eastAsia="方正小标宋简体" w:hAnsi="Calibri" w:cs="Calibri" w:hint="eastAsia"/>
          <w:sz w:val="44"/>
          <w:szCs w:val="44"/>
        </w:rPr>
        <w:t> </w:t>
      </w:r>
    </w:p>
    <w:p w:rsidR="00C14DBF" w:rsidRDefault="00C14DBF" w:rsidP="00C14DBF">
      <w:pPr>
        <w:pStyle w:val="a3"/>
        <w:shd w:val="clear" w:color="auto" w:fill="FFFFFF"/>
        <w:snapToGrid w:val="0"/>
        <w:spacing w:before="0" w:beforeAutospacing="0" w:after="0" w:afterAutospacing="0" w:line="450" w:lineRule="atLeast"/>
        <w:jc w:val="center"/>
        <w:rPr>
          <w:rFonts w:ascii="Calibri" w:hAnsi="Calibri" w:cs="Calibri"/>
          <w:sz w:val="21"/>
          <w:szCs w:val="21"/>
        </w:rPr>
      </w:pPr>
      <w:r>
        <w:rPr>
          <w:rFonts w:ascii="方正小标宋简体" w:eastAsia="方正小标宋简体" w:hAnsi="Calibri" w:cs="Calibri" w:hint="eastAsia"/>
          <w:sz w:val="44"/>
          <w:szCs w:val="44"/>
        </w:rPr>
        <w:t>第四部分</w:t>
      </w:r>
      <w:r>
        <w:rPr>
          <w:rFonts w:ascii="方正小标宋简体" w:eastAsia="方正小标宋简体" w:hAnsi="Calibri" w:cs="Calibri" w:hint="eastAsia"/>
          <w:sz w:val="44"/>
          <w:szCs w:val="44"/>
        </w:rPr>
        <w:t> </w:t>
      </w:r>
      <w:r>
        <w:rPr>
          <w:rFonts w:ascii="方正小标宋简体" w:eastAsia="方正小标宋简体" w:hAnsi="Calibri" w:cs="Calibri" w:hint="eastAsia"/>
          <w:sz w:val="44"/>
          <w:szCs w:val="44"/>
        </w:rPr>
        <w:t xml:space="preserve"> 名词解释</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（一）一般公共预算：指对以税收为主体的财政收入，安排用于保障和改善民生、推动经济社会发展、维护国家安全、维持国家机构正常运转等方面的收支预算。</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二）部门预算：指与财政部门发生预算缴款、拨款关系的政府机关、社会团体和其他单位，依据国家有关法律、法规规定及其履行职能的需要编制的本部门年度收支计划，涵盖部门各项收支，实行一个部门一本预算。</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（三）基本支出：指单位为保障机构正常运转、完成日常工作任务而发生的各项支出。</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（四）项目支出：指在基本支出之外为完成特定的行政任务或事业发展目标所发生的支出。</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五）非税收入：指由各级政府及其所属部门和单位依法利用行政权力、政府信誉、国家资源、国有资产或提供特定公务服务征收、收取、提取、募集的除税收和政府债务收入以外的财政收入，包括行政事业性收费、政府性基金、国有资源有偿使用收入、国有资产有偿使用收入、国有资本经</w:t>
      </w:r>
      <w:r>
        <w:rPr>
          <w:rFonts w:ascii="仿宋" w:eastAsia="仿宋" w:hAnsi="仿宋" w:cs="Calibri" w:hint="eastAsia"/>
          <w:sz w:val="32"/>
          <w:szCs w:val="32"/>
        </w:rPr>
        <w:lastRenderedPageBreak/>
        <w:t>营收益、彩票公益金、罚没收入、以政府明细接受的捐赠收入、政府财政资金产生的利息收入等。</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（六）财政拨款收入：指单位本年度从本级财政部门取得的财政拨款。</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（七）上级补助收入：指事业单位从主管部门和上级单位取得的非财政补助收入。</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（八）事业收入：指事业本位开展专业业务活动及其辅助活动取得的收入，事业本位收到的财政专户实际核拨的教育收费等资金在此反映。</w:t>
      </w:r>
    </w:p>
    <w:p w:rsidR="00C14DBF" w:rsidRPr="007F59EE" w:rsidRDefault="00C14DBF"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九）“三公”经费：纳入市级财政预决算管理的“三公经费”，是指市直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rsidR="00C14DBF" w:rsidRPr="007F59EE" w:rsidRDefault="007F59EE"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r>
        <w:rPr>
          <w:rFonts w:ascii="仿宋" w:eastAsia="仿宋" w:hAnsi="仿宋" w:cs="Calibri" w:hint="eastAsia"/>
          <w:sz w:val="32"/>
          <w:szCs w:val="32"/>
        </w:rPr>
        <w:t>（十</w:t>
      </w:r>
      <w:r w:rsidR="00C14DBF">
        <w:rPr>
          <w:rFonts w:ascii="仿宋" w:eastAsia="仿宋" w:hAnsi="仿宋" w:cs="Calibri" w:hint="eastAsia"/>
          <w:sz w:val="32"/>
          <w:szCs w:val="32"/>
        </w:rPr>
        <w:t>）政府采购支出：纳入部门预算范围的各项政府采购支出金额。</w:t>
      </w:r>
    </w:p>
    <w:p w:rsidR="00E47947" w:rsidRPr="007F59EE" w:rsidRDefault="00E47947" w:rsidP="007F59EE">
      <w:pPr>
        <w:pStyle w:val="a3"/>
        <w:shd w:val="clear" w:color="auto" w:fill="FFFFFF"/>
        <w:snapToGrid w:val="0"/>
        <w:spacing w:before="0" w:beforeAutospacing="0" w:after="0" w:afterAutospacing="0" w:line="558" w:lineRule="atLeast"/>
        <w:ind w:firstLine="640"/>
        <w:jc w:val="both"/>
        <w:rPr>
          <w:rFonts w:ascii="仿宋" w:eastAsia="仿宋" w:hAnsi="仿宋" w:cs="Calibri"/>
          <w:sz w:val="32"/>
          <w:szCs w:val="32"/>
        </w:rPr>
      </w:pPr>
    </w:p>
    <w:sectPr w:rsidR="00E47947" w:rsidRPr="007F59EE" w:rsidSect="007F59EE">
      <w:pgSz w:w="11906" w:h="16838"/>
      <w:pgMar w:top="1440" w:right="17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4D8" w:rsidRDefault="008364D8" w:rsidP="007F59EE">
      <w:r>
        <w:separator/>
      </w:r>
    </w:p>
  </w:endnote>
  <w:endnote w:type="continuationSeparator" w:id="1">
    <w:p w:rsidR="008364D8" w:rsidRDefault="008364D8" w:rsidP="007F59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4D8" w:rsidRDefault="008364D8" w:rsidP="007F59EE">
      <w:r>
        <w:separator/>
      </w:r>
    </w:p>
  </w:footnote>
  <w:footnote w:type="continuationSeparator" w:id="1">
    <w:p w:rsidR="008364D8" w:rsidRDefault="008364D8" w:rsidP="007F59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14DBF"/>
    <w:rsid w:val="0005341C"/>
    <w:rsid w:val="001B13D4"/>
    <w:rsid w:val="00377349"/>
    <w:rsid w:val="004D7BD3"/>
    <w:rsid w:val="00533F7D"/>
    <w:rsid w:val="0058042B"/>
    <w:rsid w:val="00684E52"/>
    <w:rsid w:val="006F55E7"/>
    <w:rsid w:val="007F59EE"/>
    <w:rsid w:val="008364D8"/>
    <w:rsid w:val="00C14DBF"/>
    <w:rsid w:val="00C36BB9"/>
    <w:rsid w:val="00D07A86"/>
    <w:rsid w:val="00E47947"/>
    <w:rsid w:val="00E56F15"/>
    <w:rsid w:val="00EE21CF"/>
    <w:rsid w:val="00F346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4DB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7F59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F59EE"/>
    <w:rPr>
      <w:sz w:val="18"/>
      <w:szCs w:val="18"/>
    </w:rPr>
  </w:style>
  <w:style w:type="paragraph" w:styleId="a5">
    <w:name w:val="footer"/>
    <w:basedOn w:val="a"/>
    <w:link w:val="Char0"/>
    <w:uiPriority w:val="99"/>
    <w:semiHidden/>
    <w:unhideWhenUsed/>
    <w:rsid w:val="007F59E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F59EE"/>
    <w:rPr>
      <w:sz w:val="18"/>
      <w:szCs w:val="18"/>
    </w:rPr>
  </w:style>
</w:styles>
</file>

<file path=word/webSettings.xml><?xml version="1.0" encoding="utf-8"?>
<w:webSettings xmlns:r="http://schemas.openxmlformats.org/officeDocument/2006/relationships" xmlns:w="http://schemas.openxmlformats.org/wordprocessingml/2006/main">
  <w:divs>
    <w:div w:id="1795784161">
      <w:bodyDiv w:val="1"/>
      <w:marLeft w:val="0"/>
      <w:marRight w:val="0"/>
      <w:marTop w:val="0"/>
      <w:marBottom w:val="0"/>
      <w:divBdr>
        <w:top w:val="none" w:sz="0" w:space="0" w:color="auto"/>
        <w:left w:val="none" w:sz="0" w:space="0" w:color="auto"/>
        <w:bottom w:val="none" w:sz="0" w:space="0" w:color="auto"/>
        <w:right w:val="none" w:sz="0" w:space="0" w:color="auto"/>
      </w:divBdr>
      <w:divsChild>
        <w:div w:id="1380278311">
          <w:marLeft w:val="0"/>
          <w:marRight w:val="0"/>
          <w:marTop w:val="100"/>
          <w:marBottom w:val="100"/>
          <w:divBdr>
            <w:top w:val="none" w:sz="0" w:space="0" w:color="auto"/>
            <w:left w:val="none" w:sz="0" w:space="0" w:color="auto"/>
            <w:bottom w:val="none" w:sz="0" w:space="0" w:color="auto"/>
            <w:right w:val="none" w:sz="0" w:space="0" w:color="auto"/>
          </w:divBdr>
          <w:divsChild>
            <w:div w:id="1958945850">
              <w:marLeft w:val="0"/>
              <w:marRight w:val="0"/>
              <w:marTop w:val="0"/>
              <w:marBottom w:val="0"/>
              <w:divBdr>
                <w:top w:val="none" w:sz="0" w:space="0" w:color="auto"/>
                <w:left w:val="none" w:sz="0" w:space="0" w:color="auto"/>
                <w:bottom w:val="none" w:sz="0" w:space="0" w:color="auto"/>
                <w:right w:val="none" w:sz="0" w:space="0" w:color="auto"/>
              </w:divBdr>
              <w:divsChild>
                <w:div w:id="1548820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006779505">
      <w:bodyDiv w:val="1"/>
      <w:marLeft w:val="0"/>
      <w:marRight w:val="0"/>
      <w:marTop w:val="0"/>
      <w:marBottom w:val="0"/>
      <w:divBdr>
        <w:top w:val="none" w:sz="0" w:space="0" w:color="auto"/>
        <w:left w:val="none" w:sz="0" w:space="0" w:color="auto"/>
        <w:bottom w:val="none" w:sz="0" w:space="0" w:color="auto"/>
        <w:right w:val="none" w:sz="0" w:space="0" w:color="auto"/>
      </w:divBdr>
      <w:divsChild>
        <w:div w:id="1544832575">
          <w:marLeft w:val="0"/>
          <w:marRight w:val="0"/>
          <w:marTop w:val="100"/>
          <w:marBottom w:val="100"/>
          <w:divBdr>
            <w:top w:val="none" w:sz="0" w:space="0" w:color="auto"/>
            <w:left w:val="none" w:sz="0" w:space="0" w:color="auto"/>
            <w:bottom w:val="none" w:sz="0" w:space="0" w:color="auto"/>
            <w:right w:val="none" w:sz="0" w:space="0" w:color="auto"/>
          </w:divBdr>
          <w:divsChild>
            <w:div w:id="727069812">
              <w:marLeft w:val="0"/>
              <w:marRight w:val="0"/>
              <w:marTop w:val="0"/>
              <w:marBottom w:val="0"/>
              <w:divBdr>
                <w:top w:val="none" w:sz="0" w:space="0" w:color="auto"/>
                <w:left w:val="none" w:sz="0" w:space="0" w:color="auto"/>
                <w:bottom w:val="none" w:sz="0" w:space="0" w:color="auto"/>
                <w:right w:val="none" w:sz="0" w:space="0" w:color="auto"/>
              </w:divBdr>
              <w:divsChild>
                <w:div w:id="8618223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415</Words>
  <Characters>2371</Characters>
  <Application>Microsoft Office Word</Application>
  <DocSecurity>0</DocSecurity>
  <Lines>19</Lines>
  <Paragraphs>5</Paragraphs>
  <ScaleCrop>false</ScaleCrop>
  <Company>Microsoft</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6</cp:revision>
  <dcterms:created xsi:type="dcterms:W3CDTF">2018-03-22T00:30:00Z</dcterms:created>
  <dcterms:modified xsi:type="dcterms:W3CDTF">2018-06-19T02:46:00Z</dcterms:modified>
</cp:coreProperties>
</file>